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D454D" w14:textId="77777777" w:rsidR="00CD01B8" w:rsidRPr="00CD01B8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0" w:lineRule="exact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AA8672E" w14:textId="0538332B" w:rsidR="00CD01B8" w:rsidRDefault="00CD01B8" w:rsidP="00763B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3540"/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</w:pPr>
      <w:r w:rsidRPr="00CD01B8">
        <w:rPr>
          <w:rFonts w:ascii="Tahoma" w:eastAsia="Helvetica Neue" w:hAnsi="Tahoma" w:cs="Tahoma"/>
          <w:bCs/>
          <w:i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Załącznik nr 2 do zapytania ofertowego </w:t>
      </w:r>
      <w:r w:rsidR="007702DC" w:rsidRPr="00EF3361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 xml:space="preserve">nr </w:t>
      </w:r>
      <w:r w:rsidR="00EE3A14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BE-2</w:t>
      </w:r>
      <w:r w:rsidR="00763B2A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5</w:t>
      </w:r>
      <w:r w:rsidR="00EE3A14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.</w:t>
      </w:r>
      <w:r w:rsidR="00763B2A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12</w:t>
      </w:r>
      <w:r w:rsidR="00EE3A14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-</w:t>
      </w:r>
      <w:r w:rsidR="00763B2A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03</w:t>
      </w:r>
    </w:p>
    <w:p w14:paraId="33CF7407" w14:textId="38A2F70D" w:rsidR="005F3B61" w:rsidRDefault="005F3B61" w:rsidP="00763B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3540"/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9674B0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t>na dostawę</w:t>
      </w:r>
      <w:r w:rsidRPr="009674B0"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Pr="00B62356"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licencji oprogramowania diagnostycznego 5G, licencji na aktualizację rdzenia sieci do standardu 5G </w:t>
      </w:r>
      <w:r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br/>
      </w:r>
      <w:r w:rsidRPr="00B62356"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oraz dwustanowiskowej licencji wieczystej oprogramowania ECAD (oprogramowania do projektowania PCB umożliwiającego edycję projektów referencyjnych HW dostawcy kluczowych układów scalonych S-RU)</w:t>
      </w:r>
    </w:p>
    <w:p w14:paraId="0F077933" w14:textId="77777777" w:rsidR="005F3B61" w:rsidRDefault="005F3B61" w:rsidP="00763B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3540"/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</w:p>
    <w:p w14:paraId="0F662905" w14:textId="77777777" w:rsidR="005F3B61" w:rsidRPr="00CD01B8" w:rsidRDefault="005F3B61" w:rsidP="00763B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3540"/>
        <w:rPr>
          <w:rFonts w:ascii="Tahoma" w:eastAsia="Arial Unicode MS" w:hAnsi="Tahoma" w:cs="Tahoma"/>
          <w:bCs/>
          <w:i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396CF36F" w14:textId="62E0701E" w:rsidR="00763B2A" w:rsidRDefault="00763B2A" w:rsidP="00763B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bCs/>
          <w:i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763B2A">
        <w:rPr>
          <w:rFonts w:ascii="Tahoma" w:eastAsia="Calibri" w:hAnsi="Tahoma" w:cs="Tahoma"/>
          <w:bCs/>
          <w:i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Dane Wykonawcy</w:t>
      </w:r>
      <w:r>
        <w:rPr>
          <w:rFonts w:ascii="Tahoma" w:eastAsia="Calibri" w:hAnsi="Tahoma" w:cs="Tahoma"/>
          <w:bCs/>
          <w:i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:</w:t>
      </w:r>
    </w:p>
    <w:p w14:paraId="690C2538" w14:textId="61552C5A" w:rsidR="00763B2A" w:rsidRPr="00763B2A" w:rsidRDefault="00763B2A" w:rsidP="00763B2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bCs/>
          <w:i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>
        <w:rPr>
          <w:rFonts w:ascii="Tahoma" w:eastAsia="Calibri" w:hAnsi="Tahoma" w:cs="Tahoma"/>
          <w:bCs/>
          <w:i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798AF8C5" w14:textId="37984A46" w:rsidR="00CD01B8" w:rsidRDefault="00763B2A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0053AD0C" w14:textId="2209E6BE" w:rsidR="00763B2A" w:rsidRDefault="00763B2A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31A87C10" w14:textId="0A65AD76" w:rsidR="00763B2A" w:rsidRDefault="00763B2A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439CA365" w14:textId="49AA69A6" w:rsidR="00763B2A" w:rsidRDefault="00763B2A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174C7DF0" w14:textId="77777777" w:rsidR="00763B2A" w:rsidRDefault="00763B2A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3E163385" w14:textId="77777777" w:rsidR="00763B2A" w:rsidRPr="00CD01B8" w:rsidRDefault="00763B2A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63768C15" w14:textId="77777777" w:rsidR="00CD01B8" w:rsidRPr="00CD01B8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Oświadczenie </w:t>
      </w:r>
      <w:bookmarkStart w:id="0" w:name="_Hlk156144501"/>
      <w:r w:rsidRPr="00CD01B8">
        <w:rPr>
          <w:rFonts w:ascii="Tahoma" w:eastAsia="Arial Unicode MS" w:hAnsi="Tahoma" w:cs="Tahoma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o braku podstaw do wykluczenia z udziału w postępowaniu</w:t>
      </w:r>
      <w:bookmarkEnd w:id="0"/>
    </w:p>
    <w:p w14:paraId="55E8FED5" w14:textId="77777777" w:rsidR="00CD01B8" w:rsidRPr="00CD01B8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0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66851F39" w14:textId="77777777" w:rsidR="00CD01B8" w:rsidRPr="00CD01B8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5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C0BB27D" w14:textId="11389268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W odpowiedzi na zapytanie ofertowe </w:t>
      </w:r>
      <w:r w:rsidR="007702DC" w:rsidRPr="00EF3361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 xml:space="preserve">nr </w:t>
      </w:r>
      <w:r w:rsidR="00EE3A14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BE-2</w:t>
      </w:r>
      <w:r w:rsidR="00763B2A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5</w:t>
      </w:r>
      <w:r w:rsidR="00EE3A14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.</w:t>
      </w:r>
      <w:r w:rsidR="00763B2A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12</w:t>
      </w:r>
      <w:r w:rsidR="00EE3A14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-</w:t>
      </w:r>
      <w:r w:rsidR="00763B2A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03</w:t>
      </w:r>
      <w:r w:rsidR="00EE3A14"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</w:t>
      </w: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z dnia </w:t>
      </w:r>
      <w:r w:rsidR="00763B2A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22</w:t>
      </w:r>
      <w:r w:rsidR="007702DC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.</w:t>
      </w:r>
      <w:r w:rsidR="00763B2A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01</w:t>
      </w:r>
      <w:r w:rsidR="007702DC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.202</w:t>
      </w:r>
      <w:r w:rsidR="00CE7D4D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6</w:t>
      </w: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r. </w:t>
      </w:r>
      <w:r w:rsidR="00CE7D4D" w:rsidRPr="00CE7D4D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dotyczące zakupu i dostawy licencji oprogramowania diagnostycznego 5G</w:t>
      </w:r>
      <w:r w:rsidR="00763B2A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, </w:t>
      </w:r>
      <w:r w:rsidR="00CE7D4D" w:rsidRPr="00CE7D4D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licencji na aktualizację rdzenia sieci do standardu 5G</w:t>
      </w:r>
      <w:r w:rsidR="00CE7D4D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</w:t>
      </w:r>
      <w:r w:rsidR="00763B2A" w:rsidRPr="00763B2A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oraz dwustanowiskowej licencji wieczystej oprogramowania ECAD (oprogramowania do projektowania PCB umożliwiającego edycję projektów referencyjnych HW dostawcy kluczowych układów scalonych S-RU)</w:t>
      </w:r>
      <w:r w:rsidR="00763B2A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</w:t>
      </w:r>
      <w:r w:rsidRPr="00CD01B8">
        <w:rPr>
          <w:rFonts w:ascii="Tahoma" w:eastAsia="Tahoma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w ramach projektu „Innowacyjna jednostka radiowa S-RU sieci 5G Open RAN z możliwością programowej zmiany funkcjonalności przez podmioty trzecie”, współfinansowanego przez Unię Europejską z Europejskiego Funduszu Rozwoju Regionalnego w ramach Programu Fundusze Europejskie dla Nowoczesnej Gospodarki (FENG)</w:t>
      </w: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,</w:t>
      </w:r>
    </w:p>
    <w:p w14:paraId="07CB24A7" w14:textId="77777777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749D9D6" w14:textId="77777777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oświadczam(y), że:</w:t>
      </w:r>
    </w:p>
    <w:p w14:paraId="07369EF1" w14:textId="77777777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557C3FDE" w14:textId="77777777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1. nie jestem(</w:t>
      </w:r>
      <w:proofErr w:type="spellStart"/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eśmy</w:t>
      </w:r>
      <w:proofErr w:type="spellEnd"/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) powiązani z Zamawiającym osobowo lub kapitałowo. </w:t>
      </w:r>
    </w:p>
    <w:p w14:paraId="1AAB09F5" w14:textId="77777777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EA9BB78" w14:textId="29A3EF08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Przez powiązania kapitałowe lub osobowe rozumie się wzajemne powiązania między zamawiającym </w:t>
      </w:r>
      <w:r w:rsidR="00763B2A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br/>
      </w: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lub osobami upoważnionymi do zaciągania zobowiązań w imieniu zamawiającego lub osobami wykonującymi w imieniu zamawiającego czynności związane z przeprowadzeniem procedury wyboru wykonawcy a wykonawcą, polegające w </w:t>
      </w:r>
      <w:proofErr w:type="spellStart"/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szczeg</w:t>
      </w:r>
      <w:proofErr w:type="spellEnd"/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val="es-ES_tradnl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ó</w:t>
      </w:r>
      <w:proofErr w:type="spellStart"/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lności</w:t>
      </w:r>
      <w:proofErr w:type="spellEnd"/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na:</w:t>
      </w:r>
    </w:p>
    <w:p w14:paraId="4089BEAA" w14:textId="77777777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7F6451F3" w14:textId="1115C4B3" w:rsidR="00CD01B8" w:rsidRPr="00CD01B8" w:rsidRDefault="00CD01B8" w:rsidP="007702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uczestniczeniu w spółce jako wspólnik spółki cywilnej lub spółki osobowej, posiadaniu </w:t>
      </w:r>
      <w:r w:rsidR="00763B2A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br/>
      </w: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co najmniej 10% udziałów lub akcji (o ile niższy próg nie wynika z przepisów prawa), pełnieniu funkcji członka organu nadzorczego lub zarządzającego, prokurenta, pełnomocnika,</w:t>
      </w:r>
    </w:p>
    <w:p w14:paraId="46A8E172" w14:textId="77777777" w:rsidR="00CD01B8" w:rsidRPr="00CD01B8" w:rsidRDefault="00CD01B8" w:rsidP="007702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 lub organów nadzorczych wykonawców ubiegających się o udzielenie zamówienia,</w:t>
      </w:r>
    </w:p>
    <w:p w14:paraId="57DDAA27" w14:textId="77777777" w:rsidR="00CD01B8" w:rsidRPr="00CD01B8" w:rsidRDefault="00CD01B8" w:rsidP="007702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DD58EE7" w14:textId="77777777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34D833F9" w14:textId="77777777" w:rsidR="00CD01B8" w:rsidRP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654E9B44" w14:textId="0B27C2C0" w:rsidR="00CD01B8" w:rsidRDefault="00CD01B8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2. Nie podlegam(-my) wykluczeniu z postępowania, w związku z art. 7 ust. 1 ustawy z dnia 13 kwietnia 2022 o szczególnych rozwiązaniach w zakresie przeciwdziałania wspieraniu agresji na Ukrainę </w:t>
      </w:r>
      <w:r w:rsidR="00763B2A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br/>
      </w: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oraz służących ochronie bezpieczeństwa narodowego (Dz. U. z 2022 r. poz. 835)</w:t>
      </w:r>
    </w:p>
    <w:p w14:paraId="6456A066" w14:textId="0F66EA50" w:rsidR="007702DC" w:rsidRPr="007702DC" w:rsidRDefault="007702DC" w:rsidP="007702D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3. </w:t>
      </w:r>
      <w:r w:rsidRPr="007702DC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Nie podlega</w:t>
      </w:r>
      <w:r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m </w:t>
      </w: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(-my) </w:t>
      </w:r>
      <w:r w:rsidRPr="007702DC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wykluczeniu z postępowania na podstawie art. 5k rozporządzenia Rady (UE) </w:t>
      </w:r>
      <w:r w:rsidR="00763B2A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br/>
      </w:r>
      <w:r w:rsidRPr="007702DC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nr 833/2014 z dnia 31 lipca 2014 r. dotyczącego środków ograniczających w związku z działaniami Rosji destabilizującymi sytuację na Ukrainie (Dz. Urz. UE nr L 229 z 31.7.2014, str. 1) w brzmieniu nadanym rozporządzeniem Rady (UE) 2022/576 w sprawie zmiany rozporządzenia (UE) nr 833/2014 dotyczącego </w:t>
      </w:r>
      <w:r w:rsidRPr="007702DC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lastRenderedPageBreak/>
        <w:t>środków ograniczających w związku z działaniami Rosji destabilizującymi sytuację na Ukrainie (Dz. Urz. UE nr L 111 z 8.4.2022, str. 1).</w:t>
      </w:r>
    </w:p>
    <w:p w14:paraId="0BA8C33D" w14:textId="77777777" w:rsidR="007702DC" w:rsidRPr="00CD01B8" w:rsidRDefault="007702DC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59" w:lineRule="auto"/>
        <w:jc w:val="both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3A7684E" w14:textId="77777777" w:rsidR="00CD01B8" w:rsidRPr="00CD01B8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60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85941B2" w14:textId="77777777" w:rsidR="00CD01B8" w:rsidRPr="00CD01B8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760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         ………………………………...………</w:t>
      </w:r>
    </w:p>
    <w:p w14:paraId="3339F679" w14:textId="77777777" w:rsidR="00CD01B8" w:rsidRPr="00CD01B8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data i podpis upoważnionego</w:t>
      </w:r>
    </w:p>
    <w:p w14:paraId="51B14B42" w14:textId="77777777" w:rsidR="00CD01B8" w:rsidRPr="00CD01B8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D01B8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przedstawiciela Wykonawcy</w:t>
      </w:r>
    </w:p>
    <w:p w14:paraId="6577E581" w14:textId="77777777" w:rsidR="00DF4902" w:rsidRDefault="00DF4902"/>
    <w:sectPr w:rsidR="00DF4902" w:rsidSect="00E2426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24908" w14:textId="77777777" w:rsidR="0010725C" w:rsidRDefault="0010725C">
      <w:pPr>
        <w:spacing w:after="0" w:line="240" w:lineRule="auto"/>
      </w:pPr>
      <w:r>
        <w:separator/>
      </w:r>
    </w:p>
  </w:endnote>
  <w:endnote w:type="continuationSeparator" w:id="0">
    <w:p w14:paraId="434885D2" w14:textId="77777777" w:rsidR="0010725C" w:rsidRDefault="0010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DB9EC" w14:textId="77777777" w:rsidR="0010725C" w:rsidRDefault="0010725C">
      <w:pPr>
        <w:spacing w:after="0" w:line="240" w:lineRule="auto"/>
      </w:pPr>
      <w:r>
        <w:separator/>
      </w:r>
    </w:p>
  </w:footnote>
  <w:footnote w:type="continuationSeparator" w:id="0">
    <w:p w14:paraId="22F55853" w14:textId="77777777" w:rsidR="0010725C" w:rsidRDefault="0010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11E0" w14:textId="77777777" w:rsidR="0035369F" w:rsidRDefault="00000000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01A9540" wp14:editId="66DC7CA8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157B2"/>
    <w:multiLevelType w:val="hybridMultilevel"/>
    <w:tmpl w:val="4614CD42"/>
    <w:lvl w:ilvl="0" w:tplc="DFBA805C">
      <w:start w:val="1"/>
      <w:numFmt w:val="decimal"/>
      <w:lvlText w:val="%1."/>
      <w:lvlJc w:val="left"/>
      <w:pPr>
        <w:ind w:left="142"/>
      </w:pPr>
      <w:rPr>
        <w:rFonts w:ascii="Times New Roman" w:eastAsia="Yu Gothic UI" w:hAnsi="Times New Roman" w:cs="Times New Roman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5944322">
    <w:abstractNumId w:val="0"/>
  </w:num>
  <w:num w:numId="2" w16cid:durableId="1325859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B8"/>
    <w:rsid w:val="000814CB"/>
    <w:rsid w:val="000C7651"/>
    <w:rsid w:val="000D1FFF"/>
    <w:rsid w:val="0010725C"/>
    <w:rsid w:val="00110804"/>
    <w:rsid w:val="002D68FD"/>
    <w:rsid w:val="0035369F"/>
    <w:rsid w:val="00497F92"/>
    <w:rsid w:val="004B67EE"/>
    <w:rsid w:val="00546C4E"/>
    <w:rsid w:val="005F3B61"/>
    <w:rsid w:val="00763B2A"/>
    <w:rsid w:val="007702DC"/>
    <w:rsid w:val="008B25AE"/>
    <w:rsid w:val="00B824D7"/>
    <w:rsid w:val="00CA1D17"/>
    <w:rsid w:val="00CD01B8"/>
    <w:rsid w:val="00CE7D4D"/>
    <w:rsid w:val="00D93335"/>
    <w:rsid w:val="00DA474A"/>
    <w:rsid w:val="00DF4902"/>
    <w:rsid w:val="00E24265"/>
    <w:rsid w:val="00E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CF49C"/>
  <w15:chartTrackingRefBased/>
  <w15:docId w15:val="{4A220B82-F1D5-45AE-9B0D-4DB69E3F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D0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0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483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ITP TELCO - Rafał Junga</dc:creator>
  <cp:keywords/>
  <dc:description/>
  <cp:lastModifiedBy>Rafał Junga</cp:lastModifiedBy>
  <cp:revision>3</cp:revision>
  <dcterms:created xsi:type="dcterms:W3CDTF">2026-01-22T11:04:00Z</dcterms:created>
  <dcterms:modified xsi:type="dcterms:W3CDTF">2026-01-22T11:58:00Z</dcterms:modified>
</cp:coreProperties>
</file>